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68C" w:rsidRPr="0017668C" w:rsidRDefault="0017668C" w:rsidP="0017668C">
      <w:pPr>
        <w:widowControl/>
        <w:jc w:val="center"/>
        <w:rPr>
          <w:rFonts w:ascii="微软雅黑" w:eastAsia="微软雅黑" w:hAnsi="微软雅黑" w:cs="宋体" w:hint="eastAsia"/>
          <w:b/>
          <w:bCs/>
          <w:color w:val="17418E"/>
          <w:kern w:val="0"/>
          <w:sz w:val="27"/>
          <w:szCs w:val="27"/>
        </w:rPr>
      </w:pPr>
      <w:r w:rsidRPr="0017668C">
        <w:rPr>
          <w:rFonts w:ascii="微软雅黑" w:eastAsia="微软雅黑" w:hAnsi="微软雅黑" w:cs="宋体" w:hint="eastAsia"/>
          <w:b/>
          <w:bCs/>
          <w:color w:val="17418E"/>
          <w:kern w:val="0"/>
          <w:sz w:val="32"/>
          <w:szCs w:val="27"/>
        </w:rPr>
        <w:t xml:space="preserve">证券公司金融衍生品柜台交易业务规范 </w:t>
      </w:r>
    </w:p>
    <w:p w:rsidR="0017668C" w:rsidRPr="0017668C" w:rsidRDefault="0017668C" w:rsidP="0017668C">
      <w:pPr>
        <w:widowControl/>
        <w:wordWrap w:val="0"/>
        <w:spacing w:before="240" w:after="240"/>
        <w:jc w:val="center"/>
        <w:rPr>
          <w:rFonts w:ascii="宋体" w:eastAsia="宋体" w:hAnsi="宋体" w:cs="宋体" w:hint="eastAsia"/>
          <w:color w:val="000000"/>
          <w:kern w:val="0"/>
          <w:szCs w:val="21"/>
        </w:rPr>
      </w:pPr>
      <w:r w:rsidRPr="0017668C">
        <w:rPr>
          <w:rFonts w:ascii="宋体" w:eastAsia="宋体" w:hAnsi="宋体" w:cs="宋体" w:hint="eastAsia"/>
          <w:color w:val="000000"/>
          <w:kern w:val="0"/>
          <w:szCs w:val="21"/>
        </w:rPr>
        <w:t xml:space="preserve">　　</w:t>
      </w:r>
      <w:r w:rsidRPr="0017668C">
        <w:rPr>
          <w:rFonts w:ascii="仿宋_GB2312" w:eastAsia="仿宋_GB2312" w:hAnsi="宋体" w:cs="宋体" w:hint="eastAsia"/>
          <w:color w:val="000000"/>
          <w:kern w:val="0"/>
          <w:sz w:val="32"/>
          <w:szCs w:val="32"/>
        </w:rPr>
        <w:t xml:space="preserve"> (2013年3月14日</w:t>
      </w:r>
      <w:r>
        <w:rPr>
          <w:rFonts w:ascii="仿宋_GB2312" w:eastAsia="仿宋_GB2312" w:hAnsi="宋体" w:cs="宋体" w:hint="eastAsia"/>
          <w:color w:val="000000"/>
          <w:kern w:val="0"/>
          <w:sz w:val="32"/>
          <w:szCs w:val="32"/>
        </w:rPr>
        <w:t>中国证券业协会</w:t>
      </w:r>
      <w:r w:rsidRPr="0017668C">
        <w:rPr>
          <w:rFonts w:ascii="仿宋_GB2312" w:eastAsia="仿宋_GB2312" w:hAnsi="宋体" w:cs="宋体" w:hint="eastAsia"/>
          <w:color w:val="000000"/>
          <w:kern w:val="0"/>
          <w:sz w:val="32"/>
          <w:szCs w:val="32"/>
        </w:rPr>
        <w:t>常务理事会第11次通讯会议审议通过，2013年3月15日发布</w:t>
      </w:r>
      <w:r>
        <w:rPr>
          <w:rFonts w:ascii="仿宋_GB2312" w:eastAsia="仿宋_GB2312" w:hAnsi="宋体" w:cs="宋体" w:hint="eastAsia"/>
          <w:color w:val="000000"/>
          <w:kern w:val="0"/>
          <w:sz w:val="32"/>
          <w:szCs w:val="32"/>
        </w:rPr>
        <w:t>)</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t xml:space="preserve">　　第一条</w:t>
      </w:r>
      <w:r w:rsidRPr="0017668C">
        <w:rPr>
          <w:rFonts w:ascii="仿宋_GB2312" w:eastAsia="仿宋_GB2312" w:hAnsi="宋体" w:cs="宋体" w:hint="eastAsia"/>
          <w:color w:val="000000"/>
          <w:kern w:val="0"/>
          <w:sz w:val="32"/>
          <w:szCs w:val="32"/>
        </w:rPr>
        <w:t> </w:t>
      </w:r>
      <w:r w:rsidRPr="0017668C">
        <w:rPr>
          <w:rFonts w:ascii="仿宋_GB2312" w:eastAsia="仿宋_GB2312" w:hAnsi="宋体" w:cs="宋体" w:hint="eastAsia"/>
          <w:color w:val="000000"/>
          <w:kern w:val="0"/>
          <w:sz w:val="32"/>
          <w:szCs w:val="32"/>
        </w:rPr>
        <w:t>为规范证券公司金融衍生品柜台交易（以下简称衍生品交易）行为，保护交易各方合法权益，防范市场风险，根据《中华人民共和国证券法》、《证券公司监督管理条例》、《证券公司柜台交易业务规范》等相关规定，制定本规范。</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t xml:space="preserve">　　第二条</w:t>
      </w:r>
      <w:r w:rsidRPr="0017668C">
        <w:rPr>
          <w:rFonts w:ascii="仿宋_GB2312" w:eastAsia="仿宋_GB2312" w:hAnsi="宋体" w:cs="宋体" w:hint="eastAsia"/>
          <w:color w:val="000000"/>
          <w:kern w:val="0"/>
          <w:sz w:val="32"/>
          <w:szCs w:val="32"/>
        </w:rPr>
        <w:t> </w:t>
      </w:r>
      <w:r w:rsidRPr="0017668C">
        <w:rPr>
          <w:rFonts w:ascii="仿宋_GB2312" w:eastAsia="仿宋_GB2312" w:hAnsi="宋体" w:cs="宋体" w:hint="eastAsia"/>
          <w:color w:val="000000"/>
          <w:kern w:val="0"/>
          <w:sz w:val="32"/>
          <w:szCs w:val="32"/>
        </w:rPr>
        <w:t>本规范所称的金融衍生品是指远期、互换、期权等价值取决于股权、债权、信用、基金、利率、汇率、指数、期货等标的物的金融协议，以及其中一种或多种产品的组合。</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t xml:space="preserve">　　本规范所称的衍生品交易指证券公司在集中交易场所以外，根据与交易对手方达成的协议，与交易对手方直接开展的交易。</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t xml:space="preserve">　　第三条</w:t>
      </w:r>
      <w:r w:rsidRPr="0017668C">
        <w:rPr>
          <w:rFonts w:ascii="仿宋_GB2312" w:eastAsia="仿宋_GB2312" w:hAnsi="宋体" w:cs="宋体" w:hint="eastAsia"/>
          <w:color w:val="000000"/>
          <w:kern w:val="0"/>
          <w:sz w:val="32"/>
          <w:szCs w:val="32"/>
        </w:rPr>
        <w:t> </w:t>
      </w:r>
      <w:r w:rsidRPr="0017668C">
        <w:rPr>
          <w:rFonts w:ascii="仿宋_GB2312" w:eastAsia="仿宋_GB2312" w:hAnsi="宋体" w:cs="宋体" w:hint="eastAsia"/>
          <w:color w:val="000000"/>
          <w:kern w:val="0"/>
          <w:sz w:val="32"/>
          <w:szCs w:val="32"/>
        </w:rPr>
        <w:t>证券公司开展衍生品交易业务，应符合《证券公司柜台交易业务规范》的相关要求，并按要求签订协会发布的金融衍生品交易主协议。</w:t>
      </w:r>
      <w:r w:rsidRPr="0017668C">
        <w:rPr>
          <w:rFonts w:ascii="仿宋_GB2312" w:eastAsia="仿宋_GB2312" w:hAnsi="宋体" w:cs="宋体" w:hint="eastAsia"/>
          <w:color w:val="000000"/>
          <w:kern w:val="0"/>
          <w:sz w:val="32"/>
          <w:szCs w:val="32"/>
        </w:rPr>
        <w:t>                   </w:t>
      </w:r>
      <w:r w:rsidRPr="0017668C">
        <w:rPr>
          <w:rFonts w:ascii="仿宋_GB2312" w:eastAsia="仿宋_GB2312" w:hAnsi="宋体" w:cs="宋体" w:hint="eastAsia"/>
          <w:color w:val="000000"/>
          <w:kern w:val="0"/>
          <w:sz w:val="32"/>
          <w:szCs w:val="32"/>
        </w:rPr>
        <w:t xml:space="preserve"> </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t xml:space="preserve">　　证券公司衍生品交易涉及其他衍生品市场的，应遵守其相关规定。</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lastRenderedPageBreak/>
        <w:t xml:space="preserve">　 </w:t>
      </w:r>
      <w:r w:rsidRPr="0017668C">
        <w:rPr>
          <w:rFonts w:ascii="仿宋_GB2312" w:eastAsia="仿宋_GB2312" w:hAnsi="宋体" w:cs="宋体" w:hint="eastAsia"/>
          <w:color w:val="000000"/>
          <w:kern w:val="0"/>
          <w:sz w:val="32"/>
          <w:szCs w:val="32"/>
        </w:rPr>
        <w:t> </w:t>
      </w:r>
      <w:r w:rsidRPr="0017668C">
        <w:rPr>
          <w:rFonts w:ascii="仿宋_GB2312" w:eastAsia="仿宋_GB2312" w:hAnsi="宋体" w:cs="宋体" w:hint="eastAsia"/>
          <w:color w:val="000000"/>
          <w:kern w:val="0"/>
          <w:sz w:val="32"/>
          <w:szCs w:val="32"/>
        </w:rPr>
        <w:t>第四条</w:t>
      </w:r>
      <w:r w:rsidRPr="0017668C">
        <w:rPr>
          <w:rFonts w:ascii="仿宋_GB2312" w:eastAsia="仿宋_GB2312" w:hAnsi="宋体" w:cs="宋体" w:hint="eastAsia"/>
          <w:color w:val="000000"/>
          <w:kern w:val="0"/>
          <w:sz w:val="32"/>
          <w:szCs w:val="32"/>
        </w:rPr>
        <w:t> </w:t>
      </w:r>
      <w:r w:rsidRPr="0017668C">
        <w:rPr>
          <w:rFonts w:ascii="仿宋_GB2312" w:eastAsia="仿宋_GB2312" w:hAnsi="宋体" w:cs="宋体" w:hint="eastAsia"/>
          <w:color w:val="000000"/>
          <w:kern w:val="0"/>
          <w:sz w:val="32"/>
          <w:szCs w:val="32"/>
        </w:rPr>
        <w:t>证券公司进行衍生品交易，应当遵守有关法律法规，遵循诚实信用、市场化、防范利益输送等原则。</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t xml:space="preserve">　</w:t>
      </w:r>
      <w:r w:rsidRPr="0017668C">
        <w:rPr>
          <w:rFonts w:ascii="仿宋_GB2312" w:eastAsia="仿宋_GB2312" w:hAnsi="宋体" w:cs="宋体" w:hint="eastAsia"/>
          <w:color w:val="000000"/>
          <w:kern w:val="0"/>
          <w:sz w:val="32"/>
          <w:szCs w:val="32"/>
        </w:rPr>
        <w:t> </w:t>
      </w:r>
      <w:r w:rsidRPr="0017668C">
        <w:rPr>
          <w:rFonts w:ascii="仿宋_GB2312" w:eastAsia="仿宋_GB2312" w:hAnsi="宋体" w:cs="宋体" w:hint="eastAsia"/>
          <w:color w:val="000000"/>
          <w:kern w:val="0"/>
          <w:sz w:val="32"/>
          <w:szCs w:val="32"/>
        </w:rPr>
        <w:t xml:space="preserve"> 第五条</w:t>
      </w:r>
      <w:r w:rsidRPr="0017668C">
        <w:rPr>
          <w:rFonts w:ascii="仿宋_GB2312" w:eastAsia="仿宋_GB2312" w:hAnsi="宋体" w:cs="宋体" w:hint="eastAsia"/>
          <w:color w:val="000000"/>
          <w:kern w:val="0"/>
          <w:sz w:val="32"/>
          <w:szCs w:val="32"/>
        </w:rPr>
        <w:t> </w:t>
      </w:r>
      <w:r w:rsidRPr="0017668C">
        <w:rPr>
          <w:rFonts w:ascii="仿宋_GB2312" w:eastAsia="仿宋_GB2312" w:hAnsi="宋体" w:cs="宋体" w:hint="eastAsia"/>
          <w:color w:val="000000"/>
          <w:kern w:val="0"/>
          <w:sz w:val="32"/>
          <w:szCs w:val="32"/>
        </w:rPr>
        <w:t>中国证券业协会（以下简称协会）对证券公司衍生品交易业务实施自律管理。协会授权中证资本市场发展监测中心有限责任公司（以下简称市场监测中心）对金融衍生品备案和后续监测进行管理。</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t xml:space="preserve">　　第六条</w:t>
      </w:r>
      <w:r w:rsidRPr="0017668C">
        <w:rPr>
          <w:rFonts w:ascii="仿宋_GB2312" w:eastAsia="仿宋_GB2312" w:hAnsi="宋体" w:cs="宋体" w:hint="eastAsia"/>
          <w:color w:val="000000"/>
          <w:kern w:val="0"/>
          <w:sz w:val="32"/>
          <w:szCs w:val="32"/>
        </w:rPr>
        <w:t> </w:t>
      </w:r>
      <w:r w:rsidRPr="0017668C">
        <w:rPr>
          <w:rFonts w:ascii="仿宋_GB2312" w:eastAsia="仿宋_GB2312" w:hAnsi="宋体" w:cs="宋体" w:hint="eastAsia"/>
          <w:color w:val="000000"/>
          <w:kern w:val="0"/>
          <w:sz w:val="32"/>
          <w:szCs w:val="32"/>
        </w:rPr>
        <w:t>证券公司应当根据本公司的人才条件、技术条件、风险偏好以及本公司业务管理和风险管理能力等，并考虑衍生品交易业务的风险特征，确定是否开展衍生品交易业务。</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t xml:space="preserve">　　第七条</w:t>
      </w:r>
      <w:r w:rsidRPr="0017668C">
        <w:rPr>
          <w:rFonts w:ascii="仿宋_GB2312" w:eastAsia="仿宋_GB2312" w:hAnsi="宋体" w:cs="宋体" w:hint="eastAsia"/>
          <w:color w:val="000000"/>
          <w:kern w:val="0"/>
          <w:sz w:val="32"/>
          <w:szCs w:val="32"/>
        </w:rPr>
        <w:t> </w:t>
      </w:r>
      <w:r w:rsidRPr="0017668C">
        <w:rPr>
          <w:rFonts w:ascii="仿宋_GB2312" w:eastAsia="仿宋_GB2312" w:hAnsi="宋体" w:cs="宋体" w:hint="eastAsia"/>
          <w:color w:val="000000"/>
          <w:kern w:val="0"/>
          <w:sz w:val="32"/>
          <w:szCs w:val="32"/>
        </w:rPr>
        <w:t>取得柜台交易业务资格的证券公司可以开展衍生品交易业务，但应在开展衍生品交易业务前向协会提交以下备案材料：</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t xml:space="preserve">　　（一）开展衍生品交易业务的可行性报告及业务计划书；</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t xml:space="preserve">　　（二）衍生品交易业务的内部管理规章制度；</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t xml:space="preserve">　　（三）衍生品交易会计制度；</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t xml:space="preserve">　　（四）主管人员和主要业务人员名单、履历；</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t xml:space="preserve">　　（五）协会要求的其他文件和资料。</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lastRenderedPageBreak/>
        <w:t xml:space="preserve">　　未取得柜台交易业务资格的证券公司拟开展衍生品交易业务的，应当通过协会组织的专业评价。</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t xml:space="preserve">　　第八条</w:t>
      </w:r>
      <w:r w:rsidRPr="0017668C">
        <w:rPr>
          <w:rFonts w:ascii="仿宋_GB2312" w:eastAsia="仿宋_GB2312" w:hAnsi="宋体" w:cs="宋体" w:hint="eastAsia"/>
          <w:color w:val="000000"/>
          <w:kern w:val="0"/>
          <w:sz w:val="32"/>
          <w:szCs w:val="32"/>
        </w:rPr>
        <w:t> </w:t>
      </w:r>
      <w:r w:rsidRPr="0017668C">
        <w:rPr>
          <w:rFonts w:ascii="仿宋_GB2312" w:eastAsia="仿宋_GB2312" w:hAnsi="宋体" w:cs="宋体" w:hint="eastAsia"/>
          <w:color w:val="000000"/>
          <w:kern w:val="0"/>
          <w:sz w:val="32"/>
          <w:szCs w:val="32"/>
        </w:rPr>
        <w:t>证券公司应当建立衍生品交易业务的决策与授权体系，制定完善衍生品交易业务的基本管理制度和业务流程。</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t xml:space="preserve">　　证券公司进行衍生品交易业务的内部管理规章制度应当至少包括以下内容：</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t xml:space="preserve">　　（一）衍生品交易业务的指导原则、业务操作规程和针对突发事件的应急措施；</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t xml:space="preserve">　　（二）金融衍生品新产品审批制度及流程；</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t xml:space="preserve">　　（三）完备的簿记管理、估值管理等制度；</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t xml:space="preserve">　　（四）健全的衍生品交易风险管理制度和内部控制制度；</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t xml:space="preserve">　　（五）协会要求的其他文件和资料。</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t xml:space="preserve">　　第九条</w:t>
      </w:r>
      <w:r w:rsidRPr="0017668C">
        <w:rPr>
          <w:rFonts w:ascii="仿宋_GB2312" w:eastAsia="仿宋_GB2312" w:hAnsi="宋体" w:cs="宋体" w:hint="eastAsia"/>
          <w:color w:val="000000"/>
          <w:kern w:val="0"/>
          <w:sz w:val="32"/>
          <w:szCs w:val="32"/>
        </w:rPr>
        <w:t>  </w:t>
      </w:r>
      <w:r w:rsidRPr="0017668C">
        <w:rPr>
          <w:rFonts w:ascii="仿宋_GB2312" w:eastAsia="仿宋_GB2312" w:hAnsi="宋体" w:cs="宋体" w:hint="eastAsia"/>
          <w:color w:val="000000"/>
          <w:kern w:val="0"/>
          <w:sz w:val="32"/>
          <w:szCs w:val="32"/>
        </w:rPr>
        <w:t xml:space="preserve"> 证券公司柜台交易的金融衍生</w:t>
      </w:r>
      <w:proofErr w:type="gramStart"/>
      <w:r w:rsidRPr="0017668C">
        <w:rPr>
          <w:rFonts w:ascii="仿宋_GB2312" w:eastAsia="仿宋_GB2312" w:hAnsi="宋体" w:cs="宋体" w:hint="eastAsia"/>
          <w:color w:val="000000"/>
          <w:kern w:val="0"/>
          <w:sz w:val="32"/>
          <w:szCs w:val="32"/>
        </w:rPr>
        <w:t>品应当</w:t>
      </w:r>
      <w:proofErr w:type="gramEnd"/>
      <w:r w:rsidRPr="0017668C">
        <w:rPr>
          <w:rFonts w:ascii="仿宋_GB2312" w:eastAsia="仿宋_GB2312" w:hAnsi="宋体" w:cs="宋体" w:hint="eastAsia"/>
          <w:color w:val="000000"/>
          <w:kern w:val="0"/>
          <w:sz w:val="32"/>
          <w:szCs w:val="32"/>
        </w:rPr>
        <w:t>经有关监管机构或自律组织的批准、备案或认可。现行法律法规或自律规则对证券公司柜台交易的金融衍生</w:t>
      </w:r>
      <w:proofErr w:type="gramStart"/>
      <w:r w:rsidRPr="0017668C">
        <w:rPr>
          <w:rFonts w:ascii="仿宋_GB2312" w:eastAsia="仿宋_GB2312" w:hAnsi="宋体" w:cs="宋体" w:hint="eastAsia"/>
          <w:color w:val="000000"/>
          <w:kern w:val="0"/>
          <w:sz w:val="32"/>
          <w:szCs w:val="32"/>
        </w:rPr>
        <w:t>品规定</w:t>
      </w:r>
      <w:proofErr w:type="gramEnd"/>
      <w:r w:rsidRPr="0017668C">
        <w:rPr>
          <w:rFonts w:ascii="仿宋_GB2312" w:eastAsia="仿宋_GB2312" w:hAnsi="宋体" w:cs="宋体" w:hint="eastAsia"/>
          <w:color w:val="000000"/>
          <w:kern w:val="0"/>
          <w:sz w:val="32"/>
          <w:szCs w:val="32"/>
        </w:rPr>
        <w:t>不明确的，该金融衍生品应通过协会组织的专业评价。</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t xml:space="preserve">　　第十条</w:t>
      </w:r>
      <w:r w:rsidRPr="0017668C">
        <w:rPr>
          <w:rFonts w:ascii="仿宋_GB2312" w:eastAsia="仿宋_GB2312" w:hAnsi="宋体" w:cs="宋体" w:hint="eastAsia"/>
          <w:color w:val="000000"/>
          <w:kern w:val="0"/>
          <w:sz w:val="32"/>
          <w:szCs w:val="32"/>
        </w:rPr>
        <w:t>  </w:t>
      </w:r>
      <w:r w:rsidRPr="0017668C">
        <w:rPr>
          <w:rFonts w:ascii="仿宋_GB2312" w:eastAsia="仿宋_GB2312" w:hAnsi="宋体" w:cs="宋体" w:hint="eastAsia"/>
          <w:color w:val="000000"/>
          <w:kern w:val="0"/>
          <w:sz w:val="32"/>
          <w:szCs w:val="32"/>
        </w:rPr>
        <w:t xml:space="preserve"> 证券公司衍生品交易风险管理体系和制度应符合《证券公司金融衍生品柜台交易风险管理指引》的要求。</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lastRenderedPageBreak/>
        <w:t xml:space="preserve">　　第十一条</w:t>
      </w:r>
      <w:r w:rsidRPr="0017668C">
        <w:rPr>
          <w:rFonts w:ascii="仿宋_GB2312" w:eastAsia="仿宋_GB2312" w:hAnsi="宋体" w:cs="宋体" w:hint="eastAsia"/>
          <w:color w:val="000000"/>
          <w:kern w:val="0"/>
          <w:sz w:val="32"/>
          <w:szCs w:val="32"/>
        </w:rPr>
        <w:t> </w:t>
      </w:r>
      <w:r w:rsidRPr="0017668C">
        <w:rPr>
          <w:rFonts w:ascii="仿宋_GB2312" w:eastAsia="仿宋_GB2312" w:hAnsi="宋体" w:cs="宋体" w:hint="eastAsia"/>
          <w:color w:val="000000"/>
          <w:kern w:val="0"/>
          <w:sz w:val="32"/>
          <w:szCs w:val="32"/>
        </w:rPr>
        <w:t>证券公司应评估衍生品交易的风险及复杂程度，对衍生品交易进行相应分类，并定期复核。</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t xml:space="preserve">　　第十二条 证券公司交易对手方应限于机构，包括专业交易对手方和非专业交易对手方。证券公司应当参照协会《证券公司投资者适当性制度指引》的原则，制定区分专业交易对手方和非专业交易对手方的具体办法。</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t xml:space="preserve">　　证券公司应评估交易对手方的衍生品交易经验、专业能力、风险承受能力等，对交易对手方进行相应分类，并至少每年复核一次。</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t xml:space="preserve">　　第十三条</w:t>
      </w:r>
      <w:r w:rsidRPr="0017668C">
        <w:rPr>
          <w:rFonts w:ascii="仿宋_GB2312" w:eastAsia="仿宋_GB2312" w:hAnsi="宋体" w:cs="宋体" w:hint="eastAsia"/>
          <w:color w:val="000000"/>
          <w:kern w:val="0"/>
          <w:sz w:val="32"/>
          <w:szCs w:val="32"/>
        </w:rPr>
        <w:t> </w:t>
      </w:r>
      <w:r w:rsidRPr="0017668C">
        <w:rPr>
          <w:rFonts w:ascii="仿宋_GB2312" w:eastAsia="仿宋_GB2312" w:hAnsi="宋体" w:cs="宋体" w:hint="eastAsia"/>
          <w:color w:val="000000"/>
          <w:kern w:val="0"/>
          <w:sz w:val="32"/>
          <w:szCs w:val="32"/>
        </w:rPr>
        <w:t>证券公司应当根据非专业交易对手方提交的书面材料判断交易对手方的法律地位、交易资格、风险承受能力、专业能力等，</w:t>
      </w:r>
      <w:proofErr w:type="gramStart"/>
      <w:r w:rsidRPr="0017668C">
        <w:rPr>
          <w:rFonts w:ascii="仿宋_GB2312" w:eastAsia="仿宋_GB2312" w:hAnsi="宋体" w:cs="宋体" w:hint="eastAsia"/>
          <w:color w:val="000000"/>
          <w:kern w:val="0"/>
          <w:sz w:val="32"/>
          <w:szCs w:val="32"/>
        </w:rPr>
        <w:t>评估非</w:t>
      </w:r>
      <w:proofErr w:type="gramEnd"/>
      <w:r w:rsidRPr="0017668C">
        <w:rPr>
          <w:rFonts w:ascii="仿宋_GB2312" w:eastAsia="仿宋_GB2312" w:hAnsi="宋体" w:cs="宋体" w:hint="eastAsia"/>
          <w:color w:val="000000"/>
          <w:kern w:val="0"/>
          <w:sz w:val="32"/>
          <w:szCs w:val="32"/>
        </w:rPr>
        <w:t>专业交易对手方参与衍生品交易的适当性。</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t xml:space="preserve">　　第十四条 证券公司进行衍生品交易时，应当至少向非专业交易对手方提供以下文件：</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t xml:space="preserve">　　（一）</w:t>
      </w:r>
      <w:r w:rsidRPr="0017668C">
        <w:rPr>
          <w:rFonts w:ascii="仿宋_GB2312" w:eastAsia="仿宋_GB2312" w:hAnsi="宋体" w:cs="宋体" w:hint="eastAsia"/>
          <w:color w:val="000000"/>
          <w:kern w:val="0"/>
          <w:sz w:val="32"/>
          <w:szCs w:val="32"/>
        </w:rPr>
        <w:t> </w:t>
      </w:r>
      <w:r w:rsidRPr="0017668C">
        <w:rPr>
          <w:rFonts w:ascii="仿宋_GB2312" w:eastAsia="仿宋_GB2312" w:hAnsi="宋体" w:cs="宋体" w:hint="eastAsia"/>
          <w:color w:val="000000"/>
          <w:kern w:val="0"/>
          <w:sz w:val="32"/>
          <w:szCs w:val="32"/>
        </w:rPr>
        <w:t>衍生</w:t>
      </w:r>
      <w:proofErr w:type="gramStart"/>
      <w:r w:rsidRPr="0017668C">
        <w:rPr>
          <w:rFonts w:ascii="仿宋_GB2312" w:eastAsia="仿宋_GB2312" w:hAnsi="宋体" w:cs="宋体" w:hint="eastAsia"/>
          <w:color w:val="000000"/>
          <w:kern w:val="0"/>
          <w:sz w:val="32"/>
          <w:szCs w:val="32"/>
        </w:rPr>
        <w:t>品相关</w:t>
      </w:r>
      <w:proofErr w:type="gramEnd"/>
      <w:r w:rsidRPr="0017668C">
        <w:rPr>
          <w:rFonts w:ascii="仿宋_GB2312" w:eastAsia="仿宋_GB2312" w:hAnsi="宋体" w:cs="宋体" w:hint="eastAsia"/>
          <w:color w:val="000000"/>
          <w:kern w:val="0"/>
          <w:sz w:val="32"/>
          <w:szCs w:val="32"/>
        </w:rPr>
        <w:t>介绍或说明；</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t xml:space="preserve">　　（二）</w:t>
      </w:r>
      <w:r w:rsidRPr="0017668C">
        <w:rPr>
          <w:rFonts w:ascii="仿宋_GB2312" w:eastAsia="仿宋_GB2312" w:hAnsi="宋体" w:cs="宋体" w:hint="eastAsia"/>
          <w:color w:val="000000"/>
          <w:kern w:val="0"/>
          <w:sz w:val="32"/>
          <w:szCs w:val="32"/>
        </w:rPr>
        <w:t> </w:t>
      </w:r>
      <w:r w:rsidRPr="0017668C">
        <w:rPr>
          <w:rFonts w:ascii="仿宋_GB2312" w:eastAsia="仿宋_GB2312" w:hAnsi="宋体" w:cs="宋体" w:hint="eastAsia"/>
          <w:color w:val="000000"/>
          <w:kern w:val="0"/>
          <w:sz w:val="32"/>
          <w:szCs w:val="32"/>
        </w:rPr>
        <w:t>与交易相关的协议；</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t xml:space="preserve">　　（三）</w:t>
      </w:r>
      <w:r w:rsidRPr="0017668C">
        <w:rPr>
          <w:rFonts w:ascii="仿宋_GB2312" w:eastAsia="仿宋_GB2312" w:hAnsi="宋体" w:cs="宋体" w:hint="eastAsia"/>
          <w:color w:val="000000"/>
          <w:kern w:val="0"/>
          <w:sz w:val="32"/>
          <w:szCs w:val="32"/>
        </w:rPr>
        <w:t> </w:t>
      </w:r>
      <w:r w:rsidRPr="0017668C">
        <w:rPr>
          <w:rFonts w:ascii="仿宋_GB2312" w:eastAsia="仿宋_GB2312" w:hAnsi="宋体" w:cs="宋体" w:hint="eastAsia"/>
          <w:color w:val="000000"/>
          <w:kern w:val="0"/>
          <w:sz w:val="32"/>
          <w:szCs w:val="32"/>
        </w:rPr>
        <w:t>风险揭示文件；</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t xml:space="preserve">　　（四）</w:t>
      </w:r>
      <w:r w:rsidRPr="0017668C">
        <w:rPr>
          <w:rFonts w:ascii="仿宋_GB2312" w:eastAsia="仿宋_GB2312" w:hAnsi="宋体" w:cs="宋体" w:hint="eastAsia"/>
          <w:color w:val="000000"/>
          <w:kern w:val="0"/>
          <w:sz w:val="32"/>
          <w:szCs w:val="32"/>
        </w:rPr>
        <w:t> </w:t>
      </w:r>
      <w:r w:rsidRPr="0017668C">
        <w:rPr>
          <w:rFonts w:ascii="仿宋_GB2312" w:eastAsia="仿宋_GB2312" w:hAnsi="宋体" w:cs="宋体" w:hint="eastAsia"/>
          <w:color w:val="000000"/>
          <w:kern w:val="0"/>
          <w:sz w:val="32"/>
          <w:szCs w:val="32"/>
        </w:rPr>
        <w:t>其他必要的文件。</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lastRenderedPageBreak/>
        <w:t xml:space="preserve">　　第十五条 证券公司与非专业交易对手方开展衍生品交易前，应当客观公允地向非专业交易对手方揭示衍生品的风险,有关风险揭示书文字应清晰易懂,并以显著方式说明交易的最大可能损失、信用风险、市场风险、流动性风险、法律合</w:t>
      </w:r>
      <w:proofErr w:type="gramStart"/>
      <w:r w:rsidRPr="0017668C">
        <w:rPr>
          <w:rFonts w:ascii="仿宋_GB2312" w:eastAsia="仿宋_GB2312" w:hAnsi="宋体" w:cs="宋体" w:hint="eastAsia"/>
          <w:color w:val="000000"/>
          <w:kern w:val="0"/>
          <w:sz w:val="32"/>
          <w:szCs w:val="32"/>
        </w:rPr>
        <w:t>规</w:t>
      </w:r>
      <w:proofErr w:type="gramEnd"/>
      <w:r w:rsidRPr="0017668C">
        <w:rPr>
          <w:rFonts w:ascii="仿宋_GB2312" w:eastAsia="仿宋_GB2312" w:hAnsi="宋体" w:cs="宋体" w:hint="eastAsia"/>
          <w:color w:val="000000"/>
          <w:kern w:val="0"/>
          <w:sz w:val="32"/>
          <w:szCs w:val="32"/>
        </w:rPr>
        <w:t>风险、操作风险、技术风险等。</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t xml:space="preserve">　　如证券公司与专业交易对手方开展衍生品交易，交易双方按协议约定执行衍生品的风险揭示。</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t xml:space="preserve">　　第十六条 证券公司与非专业交易对手方开展衍生品交易时，应分类制定非专业交易对手方可交易的衍生品品种。</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t xml:space="preserve">　　第十七条</w:t>
      </w:r>
      <w:r w:rsidRPr="0017668C">
        <w:rPr>
          <w:rFonts w:ascii="仿宋_GB2312" w:eastAsia="仿宋_GB2312" w:hAnsi="宋体" w:cs="宋体" w:hint="eastAsia"/>
          <w:color w:val="000000"/>
          <w:kern w:val="0"/>
          <w:sz w:val="32"/>
          <w:szCs w:val="32"/>
        </w:rPr>
        <w:t> </w:t>
      </w:r>
      <w:r w:rsidRPr="0017668C">
        <w:rPr>
          <w:rFonts w:ascii="仿宋_GB2312" w:eastAsia="仿宋_GB2312" w:hAnsi="宋体" w:cs="宋体" w:hint="eastAsia"/>
          <w:color w:val="000000"/>
          <w:kern w:val="0"/>
          <w:sz w:val="32"/>
          <w:szCs w:val="32"/>
        </w:rPr>
        <w:t>证券公司进行衍生品交易业务，应当向非专业交易对手方提供相关交易的信息或报告。</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t xml:space="preserve">　　如为专业交易对手方，交易双方按协议约定执行。</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t xml:space="preserve">　　第十八条</w:t>
      </w:r>
      <w:r w:rsidRPr="0017668C">
        <w:rPr>
          <w:rFonts w:ascii="仿宋_GB2312" w:eastAsia="仿宋_GB2312" w:hAnsi="宋体" w:cs="宋体" w:hint="eastAsia"/>
          <w:color w:val="000000"/>
          <w:kern w:val="0"/>
          <w:sz w:val="32"/>
          <w:szCs w:val="32"/>
        </w:rPr>
        <w:t> </w:t>
      </w:r>
      <w:r w:rsidRPr="0017668C">
        <w:rPr>
          <w:rFonts w:ascii="仿宋_GB2312" w:eastAsia="仿宋_GB2312" w:hAnsi="宋体" w:cs="宋体" w:hint="eastAsia"/>
          <w:color w:val="000000"/>
          <w:kern w:val="0"/>
          <w:sz w:val="32"/>
          <w:szCs w:val="32"/>
        </w:rPr>
        <w:t>证券公司用于衍生品交易的相关协议应当包括业务定义、权利义务关系、终止条款、结算机制、违约事件和违约处置等事项。</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t xml:space="preserve">　　第十九条</w:t>
      </w:r>
      <w:r w:rsidRPr="0017668C">
        <w:rPr>
          <w:rFonts w:ascii="仿宋_GB2312" w:eastAsia="仿宋_GB2312" w:hAnsi="宋体" w:cs="宋体" w:hint="eastAsia"/>
          <w:color w:val="000000"/>
          <w:kern w:val="0"/>
          <w:sz w:val="32"/>
          <w:szCs w:val="32"/>
        </w:rPr>
        <w:t> </w:t>
      </w:r>
      <w:r w:rsidRPr="0017668C">
        <w:rPr>
          <w:rFonts w:ascii="仿宋_GB2312" w:eastAsia="仿宋_GB2312" w:hAnsi="宋体" w:cs="宋体" w:hint="eastAsia"/>
          <w:color w:val="000000"/>
          <w:kern w:val="0"/>
          <w:sz w:val="32"/>
          <w:szCs w:val="32"/>
        </w:rPr>
        <w:t>证券公司进行衍生品交易，可以要求交易对手方提供履约保证金或可接受的履约保障品；可以根据交易或衍生</w:t>
      </w:r>
      <w:proofErr w:type="gramStart"/>
      <w:r w:rsidRPr="0017668C">
        <w:rPr>
          <w:rFonts w:ascii="仿宋_GB2312" w:eastAsia="仿宋_GB2312" w:hAnsi="宋体" w:cs="宋体" w:hint="eastAsia"/>
          <w:color w:val="000000"/>
          <w:kern w:val="0"/>
          <w:sz w:val="32"/>
          <w:szCs w:val="32"/>
        </w:rPr>
        <w:t>品风险</w:t>
      </w:r>
      <w:proofErr w:type="gramEnd"/>
      <w:r w:rsidRPr="0017668C">
        <w:rPr>
          <w:rFonts w:ascii="仿宋_GB2312" w:eastAsia="仿宋_GB2312" w:hAnsi="宋体" w:cs="宋体" w:hint="eastAsia"/>
          <w:color w:val="000000"/>
          <w:kern w:val="0"/>
          <w:sz w:val="32"/>
          <w:szCs w:val="32"/>
        </w:rPr>
        <w:t>敞口情况，约定履约保障的具体措施；可以约定履约保证金或可接受的履约保障品的接收与交付、保管与处置等事项。</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lastRenderedPageBreak/>
        <w:t xml:space="preserve">　　第二十条</w:t>
      </w:r>
      <w:r w:rsidRPr="0017668C">
        <w:rPr>
          <w:rFonts w:ascii="仿宋_GB2312" w:eastAsia="仿宋_GB2312" w:hAnsi="宋体" w:cs="宋体" w:hint="eastAsia"/>
          <w:color w:val="000000"/>
          <w:kern w:val="0"/>
          <w:sz w:val="32"/>
          <w:szCs w:val="32"/>
        </w:rPr>
        <w:t> </w:t>
      </w:r>
      <w:r w:rsidRPr="0017668C">
        <w:rPr>
          <w:rFonts w:ascii="仿宋_GB2312" w:eastAsia="仿宋_GB2312" w:hAnsi="宋体" w:cs="宋体" w:hint="eastAsia"/>
          <w:color w:val="000000"/>
          <w:kern w:val="0"/>
          <w:sz w:val="32"/>
          <w:szCs w:val="32"/>
        </w:rPr>
        <w:t>证券公司与交易对手方进行衍生品交易环节中，应对交易进行风险对冲管理。证券公司应对市场流动性、价格以及其他因素充分评估后，决定可承担的风险敞口。</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t xml:space="preserve">　　第二十一条</w:t>
      </w:r>
      <w:r w:rsidRPr="0017668C">
        <w:rPr>
          <w:rFonts w:ascii="仿宋_GB2312" w:eastAsia="仿宋_GB2312" w:hAnsi="宋体" w:cs="宋体" w:hint="eastAsia"/>
          <w:color w:val="000000"/>
          <w:kern w:val="0"/>
          <w:sz w:val="32"/>
          <w:szCs w:val="32"/>
        </w:rPr>
        <w:t> </w:t>
      </w:r>
      <w:r w:rsidRPr="0017668C">
        <w:rPr>
          <w:rFonts w:ascii="仿宋_GB2312" w:eastAsia="仿宋_GB2312" w:hAnsi="宋体" w:cs="宋体" w:hint="eastAsia"/>
          <w:color w:val="000000"/>
          <w:kern w:val="0"/>
          <w:sz w:val="32"/>
          <w:szCs w:val="32"/>
        </w:rPr>
        <w:t>证券公司应就衍生品交易相关的标的物暂停、终止上市，或标的</w:t>
      </w:r>
      <w:proofErr w:type="gramStart"/>
      <w:r w:rsidRPr="0017668C">
        <w:rPr>
          <w:rFonts w:ascii="仿宋_GB2312" w:eastAsia="仿宋_GB2312" w:hAnsi="宋体" w:cs="宋体" w:hint="eastAsia"/>
          <w:color w:val="000000"/>
          <w:kern w:val="0"/>
          <w:sz w:val="32"/>
          <w:szCs w:val="32"/>
        </w:rPr>
        <w:t>物发行</w:t>
      </w:r>
      <w:proofErr w:type="gramEnd"/>
      <w:r w:rsidRPr="0017668C">
        <w:rPr>
          <w:rFonts w:ascii="仿宋_GB2312" w:eastAsia="仿宋_GB2312" w:hAnsi="宋体" w:cs="宋体" w:hint="eastAsia"/>
          <w:color w:val="000000"/>
          <w:kern w:val="0"/>
          <w:sz w:val="32"/>
          <w:szCs w:val="32"/>
        </w:rPr>
        <w:t>方违约等特殊事件与交易对手方约定交易处理、盯市机制和违约处置方法等。</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t xml:space="preserve">　　第二十二条</w:t>
      </w:r>
      <w:r w:rsidRPr="0017668C">
        <w:rPr>
          <w:rFonts w:ascii="仿宋_GB2312" w:eastAsia="仿宋_GB2312" w:hAnsi="宋体" w:cs="宋体" w:hint="eastAsia"/>
          <w:color w:val="000000"/>
          <w:kern w:val="0"/>
          <w:sz w:val="32"/>
          <w:szCs w:val="32"/>
        </w:rPr>
        <w:t> </w:t>
      </w:r>
      <w:r w:rsidRPr="0017668C">
        <w:rPr>
          <w:rFonts w:ascii="仿宋_GB2312" w:eastAsia="仿宋_GB2312" w:hAnsi="宋体" w:cs="宋体" w:hint="eastAsia"/>
          <w:color w:val="000000"/>
          <w:kern w:val="0"/>
          <w:sz w:val="32"/>
          <w:szCs w:val="32"/>
        </w:rPr>
        <w:t>证券公司应当建立衍生品交易业务的信息报送制度，按规定及时、准确、完整地向市场监测中心报送月度交易统计报表、年度报告和市场监测中心要求的其他报告。</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t xml:space="preserve">　　第二十三条 证券公司柜台交易的产品可由证券公司负责登记托管，也可由中国证券登记结算有限责任公司登记托管。证券公司应当将登记托管、交易结算的数据报市场监测中心，并报中国证券登记结算有限责任公司。</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t xml:space="preserve">　　第二十四条 证券公司应当妥善保存衍生品交易的所有交易记录和与交易有关的文件、账目、原始凭证等资料，以备核查。会计制度另有特殊要求的除外。</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t xml:space="preserve">　　第二十五条</w:t>
      </w:r>
      <w:r w:rsidRPr="0017668C">
        <w:rPr>
          <w:rFonts w:ascii="仿宋_GB2312" w:eastAsia="仿宋_GB2312" w:hAnsi="宋体" w:cs="宋体" w:hint="eastAsia"/>
          <w:color w:val="000000"/>
          <w:kern w:val="0"/>
          <w:sz w:val="32"/>
          <w:szCs w:val="32"/>
        </w:rPr>
        <w:t> </w:t>
      </w:r>
      <w:r w:rsidRPr="0017668C">
        <w:rPr>
          <w:rFonts w:ascii="仿宋_GB2312" w:eastAsia="仿宋_GB2312" w:hAnsi="宋体" w:cs="宋体" w:hint="eastAsia"/>
          <w:color w:val="000000"/>
          <w:kern w:val="0"/>
          <w:sz w:val="32"/>
          <w:szCs w:val="32"/>
        </w:rPr>
        <w:t>证券公司应当制定衍生品交易业务应急处置预案，在发生重大业务风险或重大业务损失时，应立即采</w:t>
      </w:r>
      <w:r w:rsidRPr="0017668C">
        <w:rPr>
          <w:rFonts w:ascii="仿宋_GB2312" w:eastAsia="仿宋_GB2312" w:hAnsi="宋体" w:cs="宋体" w:hint="eastAsia"/>
          <w:color w:val="000000"/>
          <w:kern w:val="0"/>
          <w:sz w:val="32"/>
          <w:szCs w:val="32"/>
        </w:rPr>
        <w:lastRenderedPageBreak/>
        <w:t>取有效措施，并及时向市场监测中心报告，说明重大事件的起因、处理措施和影响结果等。</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t xml:space="preserve">　　第二十六条</w:t>
      </w:r>
      <w:r w:rsidRPr="0017668C">
        <w:rPr>
          <w:rFonts w:ascii="仿宋_GB2312" w:eastAsia="仿宋_GB2312" w:hAnsi="宋体" w:cs="宋体" w:hint="eastAsia"/>
          <w:color w:val="000000"/>
          <w:kern w:val="0"/>
          <w:sz w:val="32"/>
          <w:szCs w:val="32"/>
        </w:rPr>
        <w:t> </w:t>
      </w:r>
      <w:r w:rsidRPr="0017668C">
        <w:rPr>
          <w:rFonts w:ascii="仿宋_GB2312" w:eastAsia="仿宋_GB2312" w:hAnsi="宋体" w:cs="宋体" w:hint="eastAsia"/>
          <w:color w:val="000000"/>
          <w:kern w:val="0"/>
          <w:sz w:val="32"/>
          <w:szCs w:val="32"/>
        </w:rPr>
        <w:t>证券公司及其相关人员违反本规范规定，协会将视情节轻重采取相关自律惩戒措施，并记入诚信信息管理系统；存在违反法律、法规行为的，将移交证监会或其他有权机关依法查处。</w:t>
      </w:r>
    </w:p>
    <w:p w:rsidR="0017668C" w:rsidRPr="0017668C" w:rsidRDefault="0017668C" w:rsidP="0017668C">
      <w:pPr>
        <w:widowControl/>
        <w:wordWrap w:val="0"/>
        <w:spacing w:before="240" w:after="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t xml:space="preserve">　　第二十七条</w:t>
      </w:r>
      <w:r w:rsidRPr="0017668C">
        <w:rPr>
          <w:rFonts w:ascii="仿宋_GB2312" w:eastAsia="仿宋_GB2312" w:hAnsi="宋体" w:cs="宋体" w:hint="eastAsia"/>
          <w:color w:val="000000"/>
          <w:kern w:val="0"/>
          <w:sz w:val="32"/>
          <w:szCs w:val="32"/>
        </w:rPr>
        <w:t> </w:t>
      </w:r>
      <w:r w:rsidRPr="0017668C">
        <w:rPr>
          <w:rFonts w:ascii="仿宋_GB2312" w:eastAsia="仿宋_GB2312" w:hAnsi="宋体" w:cs="宋体" w:hint="eastAsia"/>
          <w:color w:val="000000"/>
          <w:kern w:val="0"/>
          <w:sz w:val="32"/>
          <w:szCs w:val="32"/>
        </w:rPr>
        <w:t>协会证券公司外其他会员开展衍生品交易的，参照本规范执行。</w:t>
      </w:r>
    </w:p>
    <w:p w:rsidR="0017668C" w:rsidRPr="0017668C" w:rsidRDefault="0017668C" w:rsidP="0017668C">
      <w:pPr>
        <w:widowControl/>
        <w:wordWrap w:val="0"/>
        <w:spacing w:before="240"/>
        <w:jc w:val="left"/>
        <w:rPr>
          <w:rFonts w:ascii="宋体" w:eastAsia="宋体" w:hAnsi="宋体" w:cs="宋体" w:hint="eastAsia"/>
          <w:color w:val="000000"/>
          <w:kern w:val="0"/>
          <w:szCs w:val="21"/>
        </w:rPr>
      </w:pPr>
      <w:r w:rsidRPr="0017668C">
        <w:rPr>
          <w:rFonts w:ascii="仿宋_GB2312" w:eastAsia="仿宋_GB2312" w:hAnsi="宋体" w:cs="宋体" w:hint="eastAsia"/>
          <w:color w:val="000000"/>
          <w:kern w:val="0"/>
          <w:sz w:val="32"/>
          <w:szCs w:val="32"/>
        </w:rPr>
        <w:t xml:space="preserve">　　第二十八条</w:t>
      </w:r>
      <w:r w:rsidRPr="0017668C">
        <w:rPr>
          <w:rFonts w:ascii="仿宋_GB2312" w:eastAsia="仿宋_GB2312" w:hAnsi="宋体" w:cs="宋体" w:hint="eastAsia"/>
          <w:color w:val="000000"/>
          <w:kern w:val="0"/>
          <w:sz w:val="32"/>
          <w:szCs w:val="32"/>
        </w:rPr>
        <w:t> </w:t>
      </w:r>
      <w:r w:rsidRPr="0017668C">
        <w:rPr>
          <w:rFonts w:ascii="仿宋_GB2312" w:eastAsia="仿宋_GB2312" w:hAnsi="宋体" w:cs="宋体" w:hint="eastAsia"/>
          <w:color w:val="000000"/>
          <w:kern w:val="0"/>
          <w:sz w:val="32"/>
          <w:szCs w:val="32"/>
        </w:rPr>
        <w:t>本规范由协会负责解释，自发布之日起施行。</w:t>
      </w:r>
    </w:p>
    <w:p w:rsidR="004A3845" w:rsidRPr="0017668C" w:rsidRDefault="004A3845"/>
    <w:sectPr w:rsidR="004A3845" w:rsidRPr="0017668C" w:rsidSect="004A384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668C"/>
    <w:rsid w:val="0017668C"/>
    <w:rsid w:val="004A38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1757923">
      <w:bodyDiv w:val="1"/>
      <w:marLeft w:val="0"/>
      <w:marRight w:val="0"/>
      <w:marTop w:val="0"/>
      <w:marBottom w:val="0"/>
      <w:divBdr>
        <w:top w:val="none" w:sz="0" w:space="0" w:color="auto"/>
        <w:left w:val="none" w:sz="0" w:space="0" w:color="auto"/>
        <w:bottom w:val="none" w:sz="0" w:space="0" w:color="auto"/>
        <w:right w:val="none" w:sz="0" w:space="0" w:color="auto"/>
      </w:divBdr>
      <w:divsChild>
        <w:div w:id="845244871">
          <w:marLeft w:val="0"/>
          <w:marRight w:val="0"/>
          <w:marTop w:val="0"/>
          <w:marBottom w:val="0"/>
          <w:divBdr>
            <w:top w:val="none" w:sz="0" w:space="0" w:color="auto"/>
            <w:left w:val="none" w:sz="0" w:space="0" w:color="auto"/>
            <w:bottom w:val="none" w:sz="0" w:space="0" w:color="auto"/>
            <w:right w:val="none" w:sz="0" w:space="0" w:color="auto"/>
          </w:divBdr>
          <w:divsChild>
            <w:div w:id="1180973672">
              <w:marLeft w:val="0"/>
              <w:marRight w:val="0"/>
              <w:marTop w:val="240"/>
              <w:marBottom w:val="240"/>
              <w:divBdr>
                <w:top w:val="none" w:sz="0" w:space="0" w:color="auto"/>
                <w:left w:val="none" w:sz="0" w:space="0" w:color="auto"/>
                <w:bottom w:val="none" w:sz="0" w:space="0" w:color="auto"/>
                <w:right w:val="none" w:sz="0" w:space="0" w:color="auto"/>
              </w:divBdr>
              <w:divsChild>
                <w:div w:id="7441129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ewqe</dc:creator>
  <cp:keywords/>
  <dc:description/>
  <cp:lastModifiedBy>ewqe</cp:lastModifiedBy>
  <cp:revision>1</cp:revision>
  <dcterms:created xsi:type="dcterms:W3CDTF">2013-12-16T11:02:00Z</dcterms:created>
  <dcterms:modified xsi:type="dcterms:W3CDTF">2013-12-16T11:03:00Z</dcterms:modified>
</cp:coreProperties>
</file>